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«Управление комфортом» занимается эксплуатацией недвижимости с 2004 года. Это не только объекты Группы RBI, частью которой является «Управление комфортом», но и дома других застройщиков – всего более 120 объектов в Петербурге и Ленобласти. Среди них – многоквартирные дома сити-формата, камерные элитные дома и апартаменты, деловые центры. В общей сложности в управлении компании сегодня находится более 1,2 млн кв. метров.</w:t>
      </w:r>
    </w:p>
    <w:p w:rsidR="00000000" w:rsidDel="00000000" w:rsidP="00000000" w:rsidRDefault="00000000" w:rsidRPr="00000000" w14:paraId="00000002">
      <w:pPr>
        <w:spacing w:after="12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12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«Управление комфортом» стало одной из первых управляющих компаний Петербурга, которая внедрила собственное мобильное приложение, основанное на системе QR-кодов. Компания признана лучшей управляющей компанией в бизнес- и элит-классе по версии федеральной премии Urban Awards (2021).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ZgGwLZQzrYpcOIpVoCwC59eaMA==">CgMxLjA4AHIhMTFES2M4TmlWVXlIZU5jRm5QN0JMTFJjNVFBdEZ1cC1C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2021-11-08T11:13:00Z</dcterms:created>
  <dc:creator>Колпаков Павел Владимирович</dc:creator>
</cp:coreProperties>
</file>